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新宋体" w:hAnsi="新宋体" w:eastAsia="新宋体"/>
          <w:b/>
          <w:bCs/>
          <w:sz w:val="44"/>
          <w:szCs w:val="30"/>
        </w:rPr>
      </w:pPr>
      <w:bookmarkStart w:id="0" w:name="_GoBack"/>
      <w:r>
        <w:rPr>
          <w:rFonts w:hint="eastAsia" w:ascii="新宋体" w:hAnsi="新宋体" w:eastAsia="新宋体"/>
          <w:b/>
          <w:bCs/>
          <w:sz w:val="44"/>
          <w:lang w:eastAsia="zh-CN"/>
        </w:rPr>
        <w:t>淄博市旅游</w:t>
      </w:r>
      <w:r>
        <w:rPr>
          <w:rFonts w:hint="eastAsia" w:ascii="新宋体" w:hAnsi="新宋体" w:eastAsia="新宋体"/>
          <w:b/>
          <w:bCs/>
          <w:sz w:val="44"/>
          <w:szCs w:val="30"/>
        </w:rPr>
        <w:t>行政执法决定法制审核目录清单</w:t>
      </w:r>
      <w:bookmarkEnd w:id="0"/>
    </w:p>
    <w:tbl>
      <w:tblPr>
        <w:tblStyle w:val="3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20"/>
        <w:gridCol w:w="3330"/>
        <w:gridCol w:w="4020"/>
        <w:gridCol w:w="214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12" w:type="dxa"/>
            <w:vAlign w:val="center"/>
          </w:tcPr>
          <w:p>
            <w:pPr>
              <w:ind w:right="0" w:rightChars="0"/>
              <w:jc w:val="center"/>
              <w:rPr>
                <w:rFonts w:hint="eastAsia" w:ascii="黑体" w:hAnsi="黑体" w:eastAsia="黑体"/>
                <w:b/>
                <w:bCs/>
                <w:sz w:val="21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ind w:right="0" w:rightChars="0"/>
              <w:jc w:val="center"/>
              <w:rPr>
                <w:rFonts w:hint="eastAsia" w:ascii="黑体" w:hAnsi="黑体" w:eastAsia="黑体"/>
                <w:b/>
                <w:bCs/>
                <w:sz w:val="21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/>
                <w:i w:val="0"/>
                <w:snapToGrid/>
                <w:color w:val="000000"/>
                <w:sz w:val="21"/>
                <w:lang w:eastAsia="zh-CN"/>
              </w:rPr>
              <w:t>执法类别</w:t>
            </w:r>
          </w:p>
        </w:tc>
        <w:tc>
          <w:tcPr>
            <w:tcW w:w="3330" w:type="dxa"/>
            <w:vAlign w:val="center"/>
          </w:tcPr>
          <w:p>
            <w:pPr>
              <w:ind w:right="0" w:rightChars="0"/>
              <w:jc w:val="center"/>
              <w:rPr>
                <w:rFonts w:hint="eastAsia" w:ascii="黑体" w:hAnsi="黑体" w:eastAsia="黑体"/>
                <w:b/>
                <w:bCs/>
                <w:sz w:val="21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30"/>
                <w:vertAlign w:val="baseline"/>
                <w:lang w:eastAsia="zh-CN"/>
              </w:rPr>
              <w:t>执法事项</w:t>
            </w:r>
          </w:p>
        </w:tc>
        <w:tc>
          <w:tcPr>
            <w:tcW w:w="4020" w:type="dxa"/>
            <w:vAlign w:val="center"/>
          </w:tcPr>
          <w:p>
            <w:pPr>
              <w:ind w:right="0" w:rightChars="0"/>
              <w:jc w:val="center"/>
              <w:rPr>
                <w:rFonts w:hint="eastAsia" w:ascii="黑体" w:hAnsi="黑体" w:eastAsia="黑体"/>
                <w:b/>
                <w:bCs/>
                <w:sz w:val="21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/>
                <w:i w:val="0"/>
                <w:snapToGrid/>
                <w:color w:val="000000"/>
                <w:sz w:val="21"/>
                <w:lang w:eastAsia="zh-CN"/>
              </w:rPr>
              <w:t>执法依据</w:t>
            </w:r>
          </w:p>
        </w:tc>
        <w:tc>
          <w:tcPr>
            <w:tcW w:w="2145" w:type="dxa"/>
            <w:vAlign w:val="center"/>
          </w:tcPr>
          <w:p>
            <w:pPr>
              <w:ind w:right="0" w:rightChars="0"/>
              <w:jc w:val="center"/>
              <w:rPr>
                <w:rFonts w:hint="eastAsia" w:ascii="黑体" w:hAnsi="黑体" w:eastAsia="黑体"/>
                <w:b/>
                <w:bCs/>
                <w:sz w:val="21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30"/>
                <w:vertAlign w:val="baseline"/>
                <w:lang w:eastAsia="zh-CN"/>
              </w:rPr>
              <w:t>应提交的审核材料</w:t>
            </w:r>
          </w:p>
        </w:tc>
        <w:tc>
          <w:tcPr>
            <w:tcW w:w="2580" w:type="dxa"/>
            <w:vAlign w:val="center"/>
          </w:tcPr>
          <w:p>
            <w:pPr>
              <w:ind w:right="0" w:rightChars="0"/>
              <w:jc w:val="center"/>
              <w:rPr>
                <w:rFonts w:hint="eastAsia" w:ascii="黑体" w:hAnsi="黑体" w:eastAsia="黑体"/>
                <w:b/>
                <w:bCs/>
                <w:sz w:val="21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30"/>
                <w:vertAlign w:val="baseline"/>
                <w:lang w:eastAsia="zh-CN"/>
              </w:rPr>
              <w:t>审核重点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712" w:type="dxa"/>
            <w:vAlign w:val="center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21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行政处罚</w:t>
            </w:r>
          </w:p>
        </w:tc>
        <w:tc>
          <w:tcPr>
            <w:tcW w:w="3330" w:type="dxa"/>
            <w:vAlign w:val="center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责令旅行社停业整顿或者吊销旅行社业务经营许可证</w:t>
            </w:r>
          </w:p>
        </w:tc>
        <w:tc>
          <w:tcPr>
            <w:tcW w:w="4020" w:type="dxa"/>
            <w:vAlign w:val="top"/>
          </w:tcPr>
          <w:p>
            <w:pPr>
              <w:kinsoku/>
              <w:autoSpaceDE/>
              <w:autoSpaceDN w:val="0"/>
              <w:spacing w:line="420" w:lineRule="atLeast"/>
              <w:jc w:val="both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《旅游法》第九十五至一百零一条，第一百零四条；</w:t>
            </w:r>
          </w:p>
          <w:p>
            <w:pPr>
              <w:kinsoku/>
              <w:autoSpaceDE/>
              <w:autoSpaceDN w:val="0"/>
              <w:spacing w:line="420" w:lineRule="atLeast"/>
              <w:jc w:val="both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《旅行社条例》第四十七、四十八、五十一、五十二、五十五、五十九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lang w:eastAsia="zh-CN"/>
              </w:rPr>
              <w:t>、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六十二、六十三条；</w:t>
            </w:r>
          </w:p>
          <w:p>
            <w:pPr>
              <w:kinsoku/>
              <w:autoSpaceDE/>
              <w:autoSpaceDN w:val="0"/>
              <w:spacing w:line="420" w:lineRule="atLeast"/>
              <w:jc w:val="both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《导游人员管理条例》第二十、二十三、二十四条等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ind w:right="0" w:rightChars="0"/>
              <w:jc w:val="left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调查报告、重大行政执法决定建议意见及情况说明、执法决定书代拟稿、承办机构集体讨论记录等</w:t>
            </w:r>
          </w:p>
        </w:tc>
        <w:tc>
          <w:tcPr>
            <w:tcW w:w="2580" w:type="dxa"/>
            <w:vMerge w:val="restart"/>
            <w:vAlign w:val="top"/>
          </w:tcPr>
          <w:p>
            <w:pPr>
              <w:kinsoku/>
              <w:autoSpaceDE/>
              <w:autoSpaceDN w:val="0"/>
              <w:spacing w:line="420" w:lineRule="atLeast"/>
              <w:ind w:firstLine="42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（一）执法主体是否合法，执法人员是否具备执法资格；</w:t>
            </w:r>
          </w:p>
          <w:p>
            <w:pPr>
              <w:kinsoku/>
              <w:autoSpaceDE/>
              <w:autoSpaceDN w:val="0"/>
              <w:spacing w:line="420" w:lineRule="atLeast"/>
              <w:ind w:firstLine="42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（二）主要事实是否清楚，证据是否确凿、充分；</w:t>
            </w:r>
          </w:p>
          <w:p>
            <w:pPr>
              <w:kinsoku/>
              <w:autoSpaceDE/>
              <w:autoSpaceDN w:val="0"/>
              <w:spacing w:line="420" w:lineRule="atLeast"/>
              <w:ind w:firstLine="42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（三）适用法律、法规、规章是否准确；罚执行裁量基准是否适当；</w:t>
            </w:r>
          </w:p>
          <w:p>
            <w:pPr>
              <w:kinsoku/>
              <w:autoSpaceDE/>
              <w:autoSpaceDN w:val="0"/>
              <w:spacing w:line="420" w:lineRule="atLeast"/>
              <w:ind w:firstLine="420"/>
              <w:jc w:val="left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（四）程序是否合法，是否充分保障行政相对人权利。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21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行政处罚</w:t>
            </w:r>
          </w:p>
        </w:tc>
        <w:tc>
          <w:tcPr>
            <w:tcW w:w="3330" w:type="dxa"/>
            <w:vAlign w:val="center"/>
          </w:tcPr>
          <w:p>
            <w:pPr>
              <w:kinsoku/>
              <w:autoSpaceDE/>
              <w:autoSpaceDN w:val="0"/>
              <w:spacing w:line="420" w:lineRule="atLeast"/>
              <w:ind w:firstLine="42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 xml:space="preserve"> </w:t>
            </w:r>
          </w:p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对导游人员处以吊销导游证处罚</w:t>
            </w:r>
          </w:p>
        </w:tc>
        <w:tc>
          <w:tcPr>
            <w:tcW w:w="4020" w:type="dxa"/>
            <w:vAlign w:val="top"/>
          </w:tcPr>
          <w:p>
            <w:pPr>
              <w:kinsoku/>
              <w:autoSpaceDE/>
              <w:autoSpaceDN w:val="0"/>
              <w:spacing w:line="420" w:lineRule="atLeast"/>
              <w:jc w:val="both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《旅游法》第九十八、一百零二条；</w:t>
            </w:r>
          </w:p>
          <w:p>
            <w:pPr>
              <w:kinsoku/>
              <w:autoSpaceDE/>
              <w:autoSpaceDN w:val="0"/>
              <w:spacing w:line="420" w:lineRule="atLeast"/>
              <w:jc w:val="both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《旅行社条例》第五十九、六十三条；</w:t>
            </w:r>
          </w:p>
          <w:p>
            <w:pPr>
              <w:ind w:right="0" w:rightChars="0"/>
              <w:jc w:val="left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《导游人员管理条例》第二十、二十三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lang w:eastAsia="zh-CN"/>
              </w:rPr>
              <w:t>、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二十四条；</w:t>
            </w:r>
          </w:p>
        </w:tc>
        <w:tc>
          <w:tcPr>
            <w:tcW w:w="2145" w:type="dxa"/>
            <w:vMerge w:val="continue"/>
            <w:vAlign w:val="top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</w:p>
        </w:tc>
        <w:tc>
          <w:tcPr>
            <w:tcW w:w="2580" w:type="dxa"/>
            <w:vMerge w:val="continue"/>
            <w:vAlign w:val="top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712" w:type="dxa"/>
            <w:vAlign w:val="center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21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行政处罚</w:t>
            </w:r>
          </w:p>
        </w:tc>
        <w:tc>
          <w:tcPr>
            <w:tcW w:w="3330" w:type="dxa"/>
            <w:vAlign w:val="center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对自然人处以人民币5千元（不含）或对单位处以人民币10万元（不含）以上的较大数额罚款</w:t>
            </w:r>
          </w:p>
        </w:tc>
        <w:tc>
          <w:tcPr>
            <w:tcW w:w="4020" w:type="dxa"/>
            <w:vAlign w:val="top"/>
          </w:tcPr>
          <w:p>
            <w:pPr>
              <w:kinsoku/>
              <w:autoSpaceDE/>
              <w:autoSpaceDN w:val="0"/>
              <w:spacing w:line="420" w:lineRule="atLeast"/>
              <w:jc w:val="both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lang w:eastAsia="zh-CN"/>
              </w:rPr>
              <w:t>《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旅游法》第九十八、一百、一百零五条；</w:t>
            </w:r>
          </w:p>
          <w:p>
            <w:pPr>
              <w:kinsoku/>
              <w:autoSpaceDE/>
              <w:autoSpaceDN w:val="0"/>
              <w:spacing w:line="420" w:lineRule="atLeast"/>
              <w:jc w:val="both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lang w:eastAsia="zh-CN"/>
              </w:rPr>
              <w:t>《旅行社条例》第四十六、四十七、五十一、五十九条等</w:t>
            </w:r>
          </w:p>
        </w:tc>
        <w:tc>
          <w:tcPr>
            <w:tcW w:w="2145" w:type="dxa"/>
            <w:vMerge w:val="continue"/>
            <w:vAlign w:val="top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</w:p>
        </w:tc>
        <w:tc>
          <w:tcPr>
            <w:tcW w:w="2580" w:type="dxa"/>
            <w:vMerge w:val="continue"/>
            <w:vAlign w:val="top"/>
          </w:tcPr>
          <w:p>
            <w:pPr>
              <w:ind w:right="0" w:rightChars="0"/>
              <w:jc w:val="center"/>
              <w:rPr>
                <w:rFonts w:hint="eastAsia" w:ascii="新宋体" w:hAnsi="新宋体" w:eastAsia="新宋体"/>
                <w:b/>
                <w:bCs/>
                <w:sz w:val="44"/>
                <w:szCs w:val="30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E5947"/>
    <w:rsid w:val="526E5947"/>
    <w:rsid w:val="6D535020"/>
    <w:rsid w:val="7262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2018-08-09T07:32:00Z</dcterms:created>
  <dc:creator>小王紫1427074774</dc:creator>
  <cp:lastModifiedBy>小王紫1427074774</cp:lastModifiedBy>
  <dcterms:modified xsi:type="dcterms:W3CDTF">2018-08-09T07:34:25Z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